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9B706E" w14:paraId="6CD4CF61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54DBFEE" w14:textId="77777777" w:rsidR="009B706E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02C8CFB4" w14:textId="77777777" w:rsidR="009B706E" w:rsidRDefault="00000000">
            <w:pPr>
              <w:spacing w:after="0" w:line="240" w:lineRule="auto"/>
            </w:pPr>
            <w:r>
              <w:t>50635</w:t>
            </w:r>
          </w:p>
        </w:tc>
      </w:tr>
      <w:tr w:rsidR="009B706E" w14:paraId="5F15767E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B24B5C6" w14:textId="77777777" w:rsidR="009B706E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0A5E4F50" w14:textId="77777777" w:rsidR="009B706E" w:rsidRDefault="00000000">
            <w:pPr>
              <w:spacing w:after="0" w:line="240" w:lineRule="auto"/>
            </w:pPr>
            <w:r>
              <w:t>RAZVOJNA AGENCIJA TINTL</w:t>
            </w:r>
          </w:p>
        </w:tc>
      </w:tr>
      <w:tr w:rsidR="009B706E" w14:paraId="2C854099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56FB616" w14:textId="77777777" w:rsidR="009B706E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39A93C90" w14:textId="77777777" w:rsidR="009B706E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0F0BF0B9" w14:textId="77777777" w:rsidR="009B706E" w:rsidRDefault="00000000">
      <w:r>
        <w:br/>
      </w:r>
    </w:p>
    <w:p w14:paraId="581E9317" w14:textId="77777777" w:rsidR="009B706E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7FDC7CD" w14:textId="77777777" w:rsidR="009B706E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4DE6D345" w14:textId="5DBEEAA2" w:rsidR="009B706E" w:rsidRDefault="00000000">
      <w:pPr>
        <w:spacing w:line="240" w:lineRule="auto"/>
        <w:jc w:val="center"/>
      </w:pPr>
      <w:r>
        <w:rPr>
          <w:b/>
          <w:sz w:val="28"/>
        </w:rPr>
        <w:t xml:space="preserve">I - </w:t>
      </w:r>
      <w:r w:rsidR="004308A8">
        <w:rPr>
          <w:b/>
          <w:sz w:val="28"/>
        </w:rPr>
        <w:t>IX</w:t>
      </w:r>
      <w:r>
        <w:rPr>
          <w:b/>
          <w:sz w:val="28"/>
        </w:rPr>
        <w:t xml:space="preserve"> 2026.</w:t>
      </w:r>
    </w:p>
    <w:p w14:paraId="2B43E911" w14:textId="77777777" w:rsidR="009B706E" w:rsidRDefault="009B706E"/>
    <w:p w14:paraId="6750F356" w14:textId="77777777" w:rsidR="009B706E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279412FE" w14:textId="77777777" w:rsidR="009B706E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782"/>
        <w:gridCol w:w="890"/>
      </w:tblGrid>
      <w:tr w:rsidR="009B706E" w14:paraId="070669D4" w14:textId="77777777" w:rsidTr="004308A8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A97190" w14:textId="77777777" w:rsidR="009B706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76929A" w14:textId="77777777" w:rsidR="009B706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E3105D" w14:textId="77777777" w:rsidR="009B706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F78146" w14:textId="77777777" w:rsidR="009B706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782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272AD5" w14:textId="77777777" w:rsidR="009B706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89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A2DD08" w14:textId="77777777" w:rsidR="009B706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B706E" w14:paraId="6E8BFAAD" w14:textId="77777777" w:rsidTr="004308A8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16AF67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53BD8A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9B16AD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C19F85" w14:textId="42274F7D" w:rsidR="009B706E" w:rsidRDefault="004308A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74.836,19</w:t>
            </w:r>
          </w:p>
        </w:tc>
        <w:tc>
          <w:tcPr>
            <w:tcW w:w="1782" w:type="dxa"/>
            <w:tcMar>
              <w:top w:w="0" w:type="dxa"/>
              <w:bottom w:w="0" w:type="dxa"/>
            </w:tcMar>
            <w:vAlign w:val="center"/>
          </w:tcPr>
          <w:p w14:paraId="1711A5C2" w14:textId="39F5C149" w:rsidR="009B706E" w:rsidRDefault="004308A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  <w:szCs w:val="14"/>
              </w:rPr>
              <w:t>85.644,14</w:t>
            </w:r>
          </w:p>
        </w:tc>
        <w:tc>
          <w:tcPr>
            <w:tcW w:w="890" w:type="dxa"/>
            <w:tcMar>
              <w:top w:w="0" w:type="dxa"/>
              <w:bottom w:w="0" w:type="dxa"/>
            </w:tcMar>
            <w:vAlign w:val="center"/>
          </w:tcPr>
          <w:p w14:paraId="1B10CCC2" w14:textId="75B5CC81" w:rsidR="009B706E" w:rsidRDefault="009B706E">
            <w:pPr>
              <w:keepNext/>
              <w:keepLines/>
              <w:spacing w:after="0" w:line="240" w:lineRule="auto"/>
              <w:jc w:val="right"/>
            </w:pPr>
          </w:p>
        </w:tc>
      </w:tr>
      <w:tr w:rsidR="009B706E" w14:paraId="6658EB0B" w14:textId="77777777" w:rsidTr="004308A8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1CB4A3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4A995E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EAA848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4692AB" w14:textId="5FED0574" w:rsidR="009B706E" w:rsidRDefault="004308A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74.587,80</w:t>
            </w:r>
          </w:p>
        </w:tc>
        <w:tc>
          <w:tcPr>
            <w:tcW w:w="1782" w:type="dxa"/>
            <w:tcMar>
              <w:top w:w="0" w:type="dxa"/>
              <w:bottom w:w="0" w:type="dxa"/>
            </w:tcMar>
            <w:vAlign w:val="center"/>
          </w:tcPr>
          <w:p w14:paraId="4A759305" w14:textId="1D2A2AB9" w:rsidR="009B706E" w:rsidRDefault="004308A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93.034,10</w:t>
            </w:r>
          </w:p>
        </w:tc>
        <w:tc>
          <w:tcPr>
            <w:tcW w:w="890" w:type="dxa"/>
            <w:tcMar>
              <w:top w:w="0" w:type="dxa"/>
              <w:bottom w:w="0" w:type="dxa"/>
            </w:tcMar>
            <w:vAlign w:val="center"/>
          </w:tcPr>
          <w:p w14:paraId="1B960C0C" w14:textId="5A7364C7" w:rsidR="009B706E" w:rsidRDefault="009B706E">
            <w:pPr>
              <w:keepNext/>
              <w:keepLines/>
              <w:spacing w:after="0" w:line="240" w:lineRule="auto"/>
              <w:jc w:val="right"/>
            </w:pPr>
          </w:p>
        </w:tc>
      </w:tr>
      <w:tr w:rsidR="009B706E" w14:paraId="64CBAF8D" w14:textId="77777777" w:rsidTr="004308A8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3DF828" w14:textId="77777777" w:rsidR="009B706E" w:rsidRDefault="009B706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661DB3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8E4FF2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9DAA64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782" w:type="dxa"/>
            <w:tcMar>
              <w:top w:w="0" w:type="dxa"/>
              <w:bottom w:w="0" w:type="dxa"/>
            </w:tcMar>
            <w:vAlign w:val="center"/>
          </w:tcPr>
          <w:p w14:paraId="099E9001" w14:textId="2C37D7B8" w:rsidR="009B706E" w:rsidRDefault="004308A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7.389,96</w:t>
            </w:r>
          </w:p>
        </w:tc>
        <w:tc>
          <w:tcPr>
            <w:tcW w:w="890" w:type="dxa"/>
            <w:tcMar>
              <w:top w:w="0" w:type="dxa"/>
              <w:bottom w:w="0" w:type="dxa"/>
            </w:tcMar>
            <w:vAlign w:val="center"/>
          </w:tcPr>
          <w:p w14:paraId="23072964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B706E" w14:paraId="10ACC898" w14:textId="77777777" w:rsidTr="004308A8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1AA656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6C2396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9DEC29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79C359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782" w:type="dxa"/>
            <w:tcMar>
              <w:top w:w="0" w:type="dxa"/>
              <w:bottom w:w="0" w:type="dxa"/>
            </w:tcMar>
            <w:vAlign w:val="center"/>
          </w:tcPr>
          <w:p w14:paraId="74482118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890" w:type="dxa"/>
            <w:tcMar>
              <w:top w:w="0" w:type="dxa"/>
              <w:bottom w:w="0" w:type="dxa"/>
            </w:tcMar>
            <w:vAlign w:val="center"/>
          </w:tcPr>
          <w:p w14:paraId="0E2A87EA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B706E" w14:paraId="2C8251A7" w14:textId="77777777" w:rsidTr="004308A8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98259E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E7F34B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6D565E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9730FC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782" w:type="dxa"/>
            <w:tcMar>
              <w:top w:w="0" w:type="dxa"/>
              <w:bottom w:w="0" w:type="dxa"/>
            </w:tcMar>
            <w:vAlign w:val="center"/>
          </w:tcPr>
          <w:p w14:paraId="333F0F69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890" w:type="dxa"/>
            <w:tcMar>
              <w:top w:w="0" w:type="dxa"/>
              <w:bottom w:w="0" w:type="dxa"/>
            </w:tcMar>
            <w:vAlign w:val="center"/>
          </w:tcPr>
          <w:p w14:paraId="153EFD26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B706E" w14:paraId="148A3701" w14:textId="77777777" w:rsidTr="004308A8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834C03" w14:textId="77777777" w:rsidR="009B706E" w:rsidRDefault="009B706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07C87D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PRIHODA OD NEFINANCIJSKE IMOVINE (šifre 7-4,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A31C21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X002, 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7B0B16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782" w:type="dxa"/>
            <w:tcMar>
              <w:top w:w="0" w:type="dxa"/>
              <w:bottom w:w="0" w:type="dxa"/>
            </w:tcMar>
            <w:vAlign w:val="center"/>
          </w:tcPr>
          <w:p w14:paraId="7A651073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890" w:type="dxa"/>
            <w:tcMar>
              <w:top w:w="0" w:type="dxa"/>
              <w:bottom w:w="0" w:type="dxa"/>
            </w:tcMar>
            <w:vAlign w:val="center"/>
          </w:tcPr>
          <w:p w14:paraId="1234F43B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B706E" w14:paraId="1DE2A108" w14:textId="77777777" w:rsidTr="004308A8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6CE45A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811303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C3040D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7F35C5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782" w:type="dxa"/>
            <w:tcMar>
              <w:top w:w="0" w:type="dxa"/>
              <w:bottom w:w="0" w:type="dxa"/>
            </w:tcMar>
            <w:vAlign w:val="center"/>
          </w:tcPr>
          <w:p w14:paraId="723EB89B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890" w:type="dxa"/>
            <w:tcMar>
              <w:top w:w="0" w:type="dxa"/>
              <w:bottom w:w="0" w:type="dxa"/>
            </w:tcMar>
            <w:vAlign w:val="center"/>
          </w:tcPr>
          <w:p w14:paraId="6B3CFDD4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B706E" w14:paraId="38E5EDE4" w14:textId="77777777" w:rsidTr="004308A8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4882DB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D0C1F4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ADA8E5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3551C0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782" w:type="dxa"/>
            <w:tcMar>
              <w:top w:w="0" w:type="dxa"/>
              <w:bottom w:w="0" w:type="dxa"/>
            </w:tcMar>
            <w:vAlign w:val="center"/>
          </w:tcPr>
          <w:p w14:paraId="628E168D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890" w:type="dxa"/>
            <w:tcMar>
              <w:top w:w="0" w:type="dxa"/>
              <w:bottom w:w="0" w:type="dxa"/>
            </w:tcMar>
            <w:vAlign w:val="center"/>
          </w:tcPr>
          <w:p w14:paraId="00041D55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B706E" w14:paraId="210F2138" w14:textId="77777777" w:rsidTr="004308A8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E41D84" w14:textId="77777777" w:rsidR="009B706E" w:rsidRDefault="009B706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4D48EA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F30B6D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0A4D4F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782" w:type="dxa"/>
            <w:tcMar>
              <w:top w:w="0" w:type="dxa"/>
              <w:bottom w:w="0" w:type="dxa"/>
            </w:tcMar>
            <w:vAlign w:val="center"/>
          </w:tcPr>
          <w:p w14:paraId="21449B27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890" w:type="dxa"/>
            <w:tcMar>
              <w:top w:w="0" w:type="dxa"/>
              <w:bottom w:w="0" w:type="dxa"/>
            </w:tcMar>
            <w:vAlign w:val="center"/>
          </w:tcPr>
          <w:p w14:paraId="6000FDA2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B706E" w14:paraId="76E3B1C7" w14:textId="77777777" w:rsidTr="004308A8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7A345D" w14:textId="77777777" w:rsidR="009B706E" w:rsidRDefault="009B706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37B783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8813BB" w14:textId="77777777" w:rsidR="009B706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699910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782" w:type="dxa"/>
            <w:tcMar>
              <w:top w:w="0" w:type="dxa"/>
              <w:bottom w:w="0" w:type="dxa"/>
            </w:tcMar>
            <w:vAlign w:val="center"/>
          </w:tcPr>
          <w:p w14:paraId="5821FA7D" w14:textId="1C6DFF19" w:rsidR="009B706E" w:rsidRDefault="00B875C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7.389,96</w:t>
            </w:r>
          </w:p>
        </w:tc>
        <w:tc>
          <w:tcPr>
            <w:tcW w:w="890" w:type="dxa"/>
            <w:tcMar>
              <w:top w:w="0" w:type="dxa"/>
              <w:bottom w:w="0" w:type="dxa"/>
            </w:tcMar>
            <w:vAlign w:val="center"/>
          </w:tcPr>
          <w:p w14:paraId="2A937B08" w14:textId="77777777" w:rsidR="009B706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18281143" w14:textId="77777777" w:rsidR="009B706E" w:rsidRDefault="009B706E">
      <w:pPr>
        <w:spacing w:after="0"/>
      </w:pPr>
    </w:p>
    <w:p w14:paraId="542AF574" w14:textId="06582BA3" w:rsidR="009B706E" w:rsidRDefault="00000000">
      <w:r>
        <w:t xml:space="preserve">BILJEŠKE UZ FINANCIJSKE IZVJEŠTAJE ZA RAZDOBLJE I - </w:t>
      </w:r>
      <w:r w:rsidR="00B875CD">
        <w:t>IX</w:t>
      </w:r>
      <w:r>
        <w:t xml:space="preserve"> 2026.</w:t>
      </w:r>
    </w:p>
    <w:p w14:paraId="0F17533D" w14:textId="77777777" w:rsidR="009B706E" w:rsidRDefault="00000000">
      <w:r>
        <w:t>Izvještaj o prihodima i rashodima, primicima i izdacima</w:t>
      </w:r>
    </w:p>
    <w:p w14:paraId="0CE0F473" w14:textId="77777777" w:rsidR="009B706E" w:rsidRDefault="00000000">
      <w:r>
        <w:t>Bilješka 1.</w:t>
      </w:r>
    </w:p>
    <w:p w14:paraId="2D0E967A" w14:textId="45C4BE5D" w:rsidR="009B706E" w:rsidRDefault="00000000">
      <w:r>
        <w:lastRenderedPageBreak/>
        <w:t>U izvještajnom razdoblju (01.01.2026. - 3</w:t>
      </w:r>
      <w:r w:rsidR="00137BC4">
        <w:t>0</w:t>
      </w:r>
      <w:r>
        <w:t>.0</w:t>
      </w:r>
      <w:r w:rsidR="00B875CD">
        <w:t>9</w:t>
      </w:r>
      <w:r>
        <w:t xml:space="preserve">.2026.) Razvojna agencija TINTL ostvarila je sljedeći rezultat poslovanja: Ukupni prihodi poslovanja (šifra 6) iznose </w:t>
      </w:r>
      <w:r w:rsidR="00B875CD">
        <w:t>85.644,14</w:t>
      </w:r>
      <w:r>
        <w:t xml:space="preserve"> eura, dok ukupni rashodi poslovanja (šifra 3) iznose </w:t>
      </w:r>
      <w:r w:rsidR="00B875CD">
        <w:t>93.034,10</w:t>
      </w:r>
      <w:r>
        <w:t xml:space="preserve"> eura. Razlika ukupno ostvarenih prihoda i rashoda poslovanja čini manjak prihoda poslovanja (šifra Y001) u iznosu od </w:t>
      </w:r>
      <w:r w:rsidR="00B875CD">
        <w:t>7.389,96</w:t>
      </w:r>
      <w:r>
        <w:t xml:space="preserve"> eura. </w:t>
      </w:r>
    </w:p>
    <w:p w14:paraId="23AF90BA" w14:textId="79B0184B" w:rsidR="009B706E" w:rsidRDefault="00000000">
      <w:r>
        <w:t xml:space="preserve">S obzirom da preneseni višak prihoda i primitaka iznosi 9.763,89 eura te je dovoljan za pokriće manjka prihoda poslovanja u iznosu </w:t>
      </w:r>
      <w:r w:rsidR="00B875CD">
        <w:t>7.389,96</w:t>
      </w:r>
      <w:r>
        <w:t xml:space="preserve"> eura, ostvaren je pozitivan rezultat poslovanja, odnosno ostvaren je višak prihoda i primitaka raspoloživ u sljedećem razdoblju (šifra X006) u iznosu </w:t>
      </w:r>
      <w:r w:rsidR="00B875CD">
        <w:t>2.373,93</w:t>
      </w:r>
      <w:r>
        <w:t xml:space="preserve"> eura.</w:t>
      </w:r>
    </w:p>
    <w:p w14:paraId="214FF136" w14:textId="77777777" w:rsidR="009B706E" w:rsidRDefault="00000000">
      <w:r>
        <w:t> </w:t>
      </w:r>
    </w:p>
    <w:p w14:paraId="12E55C97" w14:textId="6C785D3B" w:rsidR="009B706E" w:rsidRDefault="00000000">
      <w:r>
        <w:t>Bilješka 2.</w:t>
      </w:r>
      <w:r w:rsidR="003A33C7">
        <w:t xml:space="preserve"> – Prihodi poslovanja (šifra 6)</w:t>
      </w:r>
    </w:p>
    <w:p w14:paraId="7EBFB5D8" w14:textId="40B52ED6" w:rsidR="00B875CD" w:rsidRDefault="00000000">
      <w:r>
        <w:t>Ukupni prihodi poslovanja Razvojne agencije TINTL na dan 3</w:t>
      </w:r>
      <w:r w:rsidR="00137BC4">
        <w:t>0</w:t>
      </w:r>
      <w:r>
        <w:t>.0</w:t>
      </w:r>
      <w:r w:rsidR="00B875CD">
        <w:t>9</w:t>
      </w:r>
      <w:r>
        <w:t xml:space="preserve">.2026. iznose </w:t>
      </w:r>
      <w:r w:rsidR="00B875CD">
        <w:t>85.644,14</w:t>
      </w:r>
      <w:r>
        <w:t xml:space="preserve"> eura, što predstavlja </w:t>
      </w:r>
      <w:r w:rsidR="00B875CD">
        <w:t>povećanje</w:t>
      </w:r>
      <w:r>
        <w:t xml:space="preserve"> o</w:t>
      </w:r>
      <w:r w:rsidR="00137BC4">
        <w:t xml:space="preserve">d </w:t>
      </w:r>
      <w:r w:rsidR="00B875CD">
        <w:t>1</w:t>
      </w:r>
      <w:r w:rsidR="00137BC4">
        <w:t>4,4</w:t>
      </w:r>
      <w:r>
        <w:t xml:space="preserve">% u odnosu na prethodnu godinu. </w:t>
      </w:r>
      <w:r w:rsidR="00B875CD">
        <w:t>Povećanje</w:t>
      </w:r>
      <w:r>
        <w:t xml:space="preserve"> prihoda poslovanja rezultat je </w:t>
      </w:r>
      <w:r w:rsidR="00B875CD">
        <w:t>povećan</w:t>
      </w:r>
      <w:r w:rsidR="00B875CD">
        <w:t>ja</w:t>
      </w:r>
      <w:r w:rsidR="00B875CD">
        <w:t xml:space="preserve"> iznos</w:t>
      </w:r>
      <w:r w:rsidR="00B875CD">
        <w:t>a</w:t>
      </w:r>
      <w:r w:rsidR="00B875CD">
        <w:t xml:space="preserve"> </w:t>
      </w:r>
      <w:r w:rsidR="00263415">
        <w:t>financijskih sredstava kojima osnivači osiguravaju financiranje rada i redovnog poslovanja Razvojne agencije TINTL</w:t>
      </w:r>
      <w:r w:rsidR="00B875CD">
        <w:t>, što je utjecalo na ukupnu strukturu prihoda.</w:t>
      </w:r>
    </w:p>
    <w:p w14:paraId="041DDAA3" w14:textId="543B3727" w:rsidR="009B706E" w:rsidRDefault="00000000">
      <w:r>
        <w:t>Izuzev ovih prihoda, ostvaren je i prihod od 0,02 eura od pasivne kamate za razdoblje 01.01.-04.01.2026. godine, odnosno do zatvaranja poslovnog računa Razvojne agencije TINTL u Hrvatskoj poštanskoj banci i prijenosa sredstava u proračun Općine Tovarnik</w:t>
      </w:r>
      <w:r w:rsidR="00C35DD6">
        <w:t xml:space="preserve"> te prihod od 290,09 eura ostvaren temeljem odštetnog zahtjeva za popravak službenog vozila.</w:t>
      </w:r>
    </w:p>
    <w:p w14:paraId="6325803C" w14:textId="77777777" w:rsidR="009B706E" w:rsidRDefault="00000000">
      <w:r>
        <w:t> </w:t>
      </w:r>
    </w:p>
    <w:p w14:paraId="30B55C6F" w14:textId="6D5710A3" w:rsidR="009B706E" w:rsidRDefault="00000000">
      <w:r>
        <w:t>Bilješka 3.</w:t>
      </w:r>
      <w:r w:rsidR="003A33C7">
        <w:t xml:space="preserve"> – Prihodi od prodaje proizvoda i usluga… (šifra 66)</w:t>
      </w:r>
    </w:p>
    <w:p w14:paraId="38A7D19C" w14:textId="2BEC72CC" w:rsidR="009B706E" w:rsidRDefault="00000000">
      <w:r>
        <w:t xml:space="preserve">Prihodi od prodaje proizvoda i robe te pruženih usluga, prihodi od donacija te povrati po protestiranim jamstvima u izvještajnom razdoblju prethodne godine ostvareni su u iznosu </w:t>
      </w:r>
      <w:r w:rsidR="00C35DD6">
        <w:t>14.648,00</w:t>
      </w:r>
      <w:r>
        <w:t xml:space="preserve"> eura, a odnose se na pružanje konzultantskih usluga. U izvještajnom razdoblju tekuće godine nije bilo zahtjeva za ovim uslugama te stoga nije ostvaren ni prihod.</w:t>
      </w:r>
    </w:p>
    <w:p w14:paraId="06519C8A" w14:textId="77777777" w:rsidR="00263415" w:rsidRDefault="00263415"/>
    <w:p w14:paraId="07038A28" w14:textId="05D5DF5F" w:rsidR="00263415" w:rsidRDefault="00263415">
      <w:r>
        <w:t>Bilješka 4. – Prihodi iz nadležnog proračuna… (šifra 67)</w:t>
      </w:r>
    </w:p>
    <w:p w14:paraId="50EA6FBA" w14:textId="3B26820D" w:rsidR="00263415" w:rsidRDefault="001216ED">
      <w:r>
        <w:t>Prihodi iz nadležnog proračuna za financiranje rashoda poslovanja su, u odnosu na izvještajno razdoblje prethodne godine, smanjeni za 76,1% s obzirom da su se za financiranje rada Razvojne agencije koristila sredstva koja su osnivači uplaćivali, prema izvorima sukladno financijskom planu.</w:t>
      </w:r>
    </w:p>
    <w:p w14:paraId="19212BDC" w14:textId="77777777" w:rsidR="009B706E" w:rsidRDefault="00000000">
      <w:r>
        <w:t> </w:t>
      </w:r>
    </w:p>
    <w:p w14:paraId="289C56C3" w14:textId="006503F4" w:rsidR="009B706E" w:rsidRDefault="00000000">
      <w:r>
        <w:t xml:space="preserve">Bilješka </w:t>
      </w:r>
      <w:r w:rsidR="001216ED">
        <w:t>5</w:t>
      </w:r>
      <w:r>
        <w:t>.</w:t>
      </w:r>
      <w:r w:rsidR="003A33C7">
        <w:t xml:space="preserve"> – Rashodi poslovanja (šifra 3)</w:t>
      </w:r>
    </w:p>
    <w:p w14:paraId="10B94764" w14:textId="6A6932E3" w:rsidR="009B706E" w:rsidRDefault="00000000">
      <w:r>
        <w:t>Ukupni rashodi poslovanja Razvojne agencije TINTL na dan 3</w:t>
      </w:r>
      <w:r w:rsidR="009426AD">
        <w:t>0.0</w:t>
      </w:r>
      <w:r w:rsidR="001216ED">
        <w:t>9</w:t>
      </w:r>
      <w:r>
        <w:t xml:space="preserve">.2026. iznose </w:t>
      </w:r>
      <w:r w:rsidR="001216ED">
        <w:t>93.034,10</w:t>
      </w:r>
      <w:r>
        <w:t xml:space="preserve"> eura, što predstavlja povećanje od </w:t>
      </w:r>
      <w:r w:rsidR="009426AD">
        <w:t>2</w:t>
      </w:r>
      <w:r w:rsidR="001216ED">
        <w:t>4,7</w:t>
      </w:r>
      <w:r>
        <w:t>% u odnosu na prethodnu godinu.</w:t>
      </w:r>
    </w:p>
    <w:p w14:paraId="2EF484EC" w14:textId="77777777" w:rsidR="009B706E" w:rsidRDefault="00000000">
      <w:r>
        <w:t> </w:t>
      </w:r>
    </w:p>
    <w:p w14:paraId="759C110C" w14:textId="79F08C51" w:rsidR="009B706E" w:rsidRDefault="00000000">
      <w:r>
        <w:lastRenderedPageBreak/>
        <w:t xml:space="preserve">Bilješka </w:t>
      </w:r>
      <w:r w:rsidR="001216ED">
        <w:t>6</w:t>
      </w:r>
      <w:r>
        <w:t>.</w:t>
      </w:r>
      <w:r w:rsidR="003A33C7">
        <w:t xml:space="preserve"> – Rashodi za zaposlene (šifra 31)</w:t>
      </w:r>
    </w:p>
    <w:p w14:paraId="7F46E5DA" w14:textId="74026B84" w:rsidR="009B706E" w:rsidRDefault="0044023F">
      <w:r>
        <w:t>Rashodi za zaposlene su u odnosu na izvještajno razdoblje prethodne godine povećani za 2</w:t>
      </w:r>
      <w:r w:rsidR="001216ED">
        <w:t>8,6</w:t>
      </w:r>
      <w:r>
        <w:t>%,</w:t>
      </w:r>
      <w:r w:rsidR="005B1C53">
        <w:t xml:space="preserve"> a</w:t>
      </w:r>
      <w:r>
        <w:t xml:space="preserve"> rezultat su povećanja plaća u prvom kvartalu 2026. godine.</w:t>
      </w:r>
    </w:p>
    <w:p w14:paraId="5DECDCFF" w14:textId="77777777" w:rsidR="009B706E" w:rsidRDefault="00000000">
      <w:r>
        <w:t> </w:t>
      </w:r>
    </w:p>
    <w:p w14:paraId="62E705C4" w14:textId="06BEA4CC" w:rsidR="009B706E" w:rsidRDefault="00000000">
      <w:r>
        <w:t xml:space="preserve">Bilješka </w:t>
      </w:r>
      <w:r w:rsidR="001216ED">
        <w:t>7</w:t>
      </w:r>
      <w:r>
        <w:t>.</w:t>
      </w:r>
      <w:r w:rsidR="003A33C7">
        <w:t xml:space="preserve"> – Materijalni rashodi (šifra 32)</w:t>
      </w:r>
    </w:p>
    <w:p w14:paraId="53D515F4" w14:textId="77538B45" w:rsidR="009B706E" w:rsidRPr="003822F5" w:rsidRDefault="00000000">
      <w:r>
        <w:t xml:space="preserve">Materijalni rashodi su u odnosu na izvještajno razdoblje prethodne godine </w:t>
      </w:r>
      <w:r w:rsidR="001216ED">
        <w:t>smanjeni</w:t>
      </w:r>
      <w:r>
        <w:t xml:space="preserve"> za </w:t>
      </w:r>
      <w:r w:rsidR="001216ED">
        <w:t>6,8</w:t>
      </w:r>
      <w:r>
        <w:t xml:space="preserve">%, a obuhvaćaju: naknade troškova zaposlenima, rashode za materijal i energiju, rashode za usluge i ostale nespomenute rashode poslovanja. </w:t>
      </w:r>
      <w:r w:rsidR="00223FDD">
        <w:t>Najznačajnije smanjenje</w:t>
      </w:r>
      <w:r w:rsidR="0044023F">
        <w:t xml:space="preserve"> evidentirano</w:t>
      </w:r>
      <w:r>
        <w:t xml:space="preserve"> </w:t>
      </w:r>
      <w:r w:rsidR="005E0EFA">
        <w:t xml:space="preserve">je </w:t>
      </w:r>
      <w:r>
        <w:t xml:space="preserve">na </w:t>
      </w:r>
      <w:r w:rsidR="00223FDD">
        <w:t>naknadama troškova zaposlenima s obzirom da u izvještajnom razd</w:t>
      </w:r>
      <w:r w:rsidR="003822F5">
        <w:t xml:space="preserve">oblju nije bilo službenih putovanja. Istovremeno, povećani su </w:t>
      </w:r>
      <w:r>
        <w:t>rashod</w:t>
      </w:r>
      <w:r w:rsidR="0044023F">
        <w:t>i</w:t>
      </w:r>
      <w:r>
        <w:t xml:space="preserve"> za materijal i energiju</w:t>
      </w:r>
      <w:r w:rsidR="003822F5">
        <w:t xml:space="preserve"> zbog promjena u opsegu potrošnje i kretanja cijena.</w:t>
      </w:r>
      <w:r w:rsidR="001873DC">
        <w:t xml:space="preserve"> Također, značajno povećanje evidentirano je na rashodima za usluge, prvenstveno na uslugama tekućeg i investicijskog održavanja, a odnos</w:t>
      </w:r>
      <w:r w:rsidR="005B1C53">
        <w:t>e</w:t>
      </w:r>
      <w:r w:rsidR="001873DC">
        <w:t xml:space="preserve"> se </w:t>
      </w:r>
      <w:r w:rsidR="001873DC" w:rsidRPr="001873DC">
        <w:rPr>
          <w:color w:val="000000" w:themeColor="text1"/>
        </w:rPr>
        <w:t xml:space="preserve">na popravak </w:t>
      </w:r>
      <w:r w:rsidR="005B1C53">
        <w:rPr>
          <w:color w:val="000000" w:themeColor="text1"/>
        </w:rPr>
        <w:t xml:space="preserve">i održavanje </w:t>
      </w:r>
      <w:r w:rsidR="001873DC" w:rsidRPr="001873DC">
        <w:rPr>
          <w:color w:val="000000" w:themeColor="text1"/>
        </w:rPr>
        <w:t>službenog vozila.</w:t>
      </w:r>
      <w:r w:rsidR="003822F5">
        <w:rPr>
          <w:color w:val="000000" w:themeColor="text1"/>
        </w:rPr>
        <w:t xml:space="preserve"> Rashodi za premije osiguranja također su smanjeni, a odnose se na premiju osiguranja službenog vozila.</w:t>
      </w:r>
    </w:p>
    <w:p w14:paraId="731780D9" w14:textId="77777777" w:rsidR="001873DC" w:rsidRDefault="001873DC">
      <w:pPr>
        <w:rPr>
          <w:color w:val="000000" w:themeColor="text1"/>
        </w:rPr>
      </w:pPr>
    </w:p>
    <w:p w14:paraId="644E2D74" w14:textId="7CB2E6CF" w:rsidR="001873DC" w:rsidRDefault="001873DC" w:rsidP="001873DC">
      <w:r>
        <w:t xml:space="preserve">Bilješka </w:t>
      </w:r>
      <w:r w:rsidR="003822F5">
        <w:t>8</w:t>
      </w:r>
      <w:r>
        <w:t>.</w:t>
      </w:r>
      <w:r w:rsidR="003A33C7">
        <w:t xml:space="preserve"> – Financijski rashodi (šifra 34)</w:t>
      </w:r>
    </w:p>
    <w:p w14:paraId="6F9FE62D" w14:textId="0E3D89E8" w:rsidR="001873DC" w:rsidRPr="001873DC" w:rsidRDefault="001873DC">
      <w:pPr>
        <w:rPr>
          <w:color w:val="000000" w:themeColor="text1"/>
        </w:rPr>
      </w:pPr>
      <w:r>
        <w:rPr>
          <w:color w:val="000000" w:themeColor="text1"/>
        </w:rPr>
        <w:t xml:space="preserve">Financijski rashodi </w:t>
      </w:r>
      <w:r>
        <w:t xml:space="preserve">su u odnosu na izvještajno razdoblje prethodne godine smanjeni za </w:t>
      </w:r>
      <w:r w:rsidR="003822F5">
        <w:t>64</w:t>
      </w:r>
      <w:r>
        <w:t>,8%, a smanjenje je nastalo zbog zatvaranja poslovnog računa te poslovanja</w:t>
      </w:r>
      <w:r w:rsidR="005B1C53">
        <w:t xml:space="preserve"> preko jedinstvenog računa Općine Tovarnik u sustavu riznice, odnosno zbog izostanka troškova za bankarske usluge.</w:t>
      </w:r>
    </w:p>
    <w:p w14:paraId="30B8251B" w14:textId="77777777" w:rsidR="009B706E" w:rsidRDefault="00000000">
      <w:r>
        <w:t> </w:t>
      </w:r>
    </w:p>
    <w:p w14:paraId="0FA42286" w14:textId="77777777" w:rsidR="003A33C7" w:rsidRDefault="003A33C7"/>
    <w:p w14:paraId="23745321" w14:textId="69E05256" w:rsidR="009B706E" w:rsidRDefault="009B706E"/>
    <w:sectPr w:rsidR="009B7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06E"/>
    <w:rsid w:val="001216ED"/>
    <w:rsid w:val="00137BC4"/>
    <w:rsid w:val="001873DC"/>
    <w:rsid w:val="001C78DA"/>
    <w:rsid w:val="001F5A70"/>
    <w:rsid w:val="00223FDD"/>
    <w:rsid w:val="00263415"/>
    <w:rsid w:val="003822F5"/>
    <w:rsid w:val="003A33C7"/>
    <w:rsid w:val="004308A8"/>
    <w:rsid w:val="0044023F"/>
    <w:rsid w:val="005B1C53"/>
    <w:rsid w:val="005E0EFA"/>
    <w:rsid w:val="00821530"/>
    <w:rsid w:val="009426AD"/>
    <w:rsid w:val="009B706E"/>
    <w:rsid w:val="00B875CD"/>
    <w:rsid w:val="00C03085"/>
    <w:rsid w:val="00C35DD6"/>
    <w:rsid w:val="00DF0DB7"/>
    <w:rsid w:val="00F4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44BE0"/>
  <w15:docId w15:val="{29A24206-3638-421C-A9E0-DAF5F493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Općina Tovarnik</cp:lastModifiedBy>
  <cp:revision>4</cp:revision>
  <dcterms:created xsi:type="dcterms:W3CDTF">2026-07-11T17:00:00Z</dcterms:created>
  <dcterms:modified xsi:type="dcterms:W3CDTF">2026-10-12T12:43:00Z</dcterms:modified>
</cp:coreProperties>
</file>